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5F7F10"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699A4919" w14:textId="77777777" w:rsidR="00F90453" w:rsidRDefault="009559B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4241CBB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EF33E7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4AF4048" w14:textId="77777777" w:rsidR="00222867" w:rsidRPr="00D635C4" w:rsidRDefault="00612DBB" w:rsidP="00944203">
            <w:pPr>
              <w:bidi w:val="0"/>
              <w:jc w:val="right"/>
            </w:pPr>
            <w:r>
              <w:rPr>
                <w:rFonts w:hint="cs"/>
                <w:rtl/>
              </w:rPr>
              <w:t>משרד האוצר</w:t>
            </w:r>
          </w:p>
        </w:tc>
      </w:tr>
      <w:tr w:rsidR="007548B0" w14:paraId="4E2D65F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131293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606CE85" w14:textId="77777777" w:rsidR="00222867" w:rsidRPr="00D635C4" w:rsidRDefault="00944203" w:rsidP="00944203">
            <w:pPr>
              <w:bidi w:val="0"/>
              <w:jc w:val="right"/>
              <w:rPr>
                <w:rtl/>
              </w:rPr>
            </w:pPr>
            <w:r>
              <w:rPr>
                <w:rFonts w:hint="cs"/>
                <w:rtl/>
              </w:rPr>
              <w:t>אגף הכלכלן הראשי</w:t>
            </w:r>
          </w:p>
        </w:tc>
      </w:tr>
      <w:tr w:rsidR="007548B0" w14:paraId="12059A4F"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EAD573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AF70849" w14:textId="77777777" w:rsidR="00222867" w:rsidRDefault="00612DBB" w:rsidP="00DE68A0">
            <w:r>
              <w:rPr>
                <w:rFonts w:hint="cs"/>
                <w:rtl/>
              </w:rPr>
              <w:t>3.8.21</w:t>
            </w:r>
          </w:p>
        </w:tc>
      </w:tr>
    </w:tbl>
    <w:p w14:paraId="7BFD8E9B" w14:textId="77777777" w:rsidR="00332AFB" w:rsidRDefault="009559BB" w:rsidP="00222867">
      <w:pPr>
        <w:rPr>
          <w:rtl/>
        </w:rPr>
      </w:pPr>
    </w:p>
    <w:p w14:paraId="4954BC35" w14:textId="77777777" w:rsidR="00222867" w:rsidRDefault="009559BB" w:rsidP="00222867">
      <w:pPr>
        <w:rPr>
          <w:rtl/>
        </w:rPr>
      </w:pPr>
    </w:p>
    <w:p w14:paraId="52C5064F" w14:textId="77777777" w:rsidR="00222867" w:rsidRDefault="009559BB" w:rsidP="00222867">
      <w:pPr>
        <w:rPr>
          <w:rtl/>
        </w:rPr>
      </w:pPr>
    </w:p>
    <w:p w14:paraId="6B8FE25B" w14:textId="77777777" w:rsidR="00222867" w:rsidRDefault="009559BB" w:rsidP="00222867">
      <w:pPr>
        <w:rPr>
          <w:rtl/>
        </w:rPr>
      </w:pPr>
    </w:p>
    <w:p w14:paraId="09EBBF36" w14:textId="77777777" w:rsidR="00222867" w:rsidRDefault="009559BB" w:rsidP="00222867">
      <w:pPr>
        <w:rPr>
          <w:rtl/>
        </w:rPr>
      </w:pPr>
    </w:p>
    <w:p w14:paraId="341341BA" w14:textId="77777777" w:rsidR="00222867" w:rsidRDefault="009559BB" w:rsidP="00222867">
      <w:pPr>
        <w:rPr>
          <w:rtl/>
        </w:rPr>
      </w:pPr>
    </w:p>
    <w:p w14:paraId="61CD3E81"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9E3D513" w14:textId="77777777" w:rsidR="00222867" w:rsidRDefault="009559BB" w:rsidP="00222867">
      <w:pPr>
        <w:jc w:val="both"/>
        <w:rPr>
          <w:rFonts w:ascii="Arial" w:hAnsi="Arial"/>
          <w:b/>
          <w:sz w:val="22"/>
          <w:szCs w:val="22"/>
          <w:rtl/>
        </w:rPr>
      </w:pPr>
    </w:p>
    <w:p w14:paraId="5471F731"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332502F8" w14:textId="77777777" w:rsidR="00222867" w:rsidRPr="00AF57E9" w:rsidRDefault="009559B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0DAB10E" w14:textId="77777777" w:rsidTr="005F45E1">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DEFBAB6"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16D55AF4" w14:textId="77777777" w:rsidTr="005F45E1">
        <w:tc>
          <w:tcPr>
            <w:tcW w:w="9019" w:type="dxa"/>
            <w:tcBorders>
              <w:top w:val="single" w:sz="4" w:space="0" w:color="auto"/>
              <w:left w:val="single" w:sz="4" w:space="0" w:color="auto"/>
              <w:bottom w:val="single" w:sz="4" w:space="0" w:color="auto"/>
              <w:right w:val="single" w:sz="4" w:space="0" w:color="auto"/>
            </w:tcBorders>
          </w:tcPr>
          <w:p w14:paraId="40C7573A" w14:textId="77777777" w:rsidR="005F45E1" w:rsidRPr="00C13E5E" w:rsidRDefault="005F45E1" w:rsidP="005B4BB8">
            <w:pPr>
              <w:tabs>
                <w:tab w:val="center" w:pos="3635"/>
                <w:tab w:val="center" w:pos="6186"/>
              </w:tabs>
              <w:spacing w:line="360" w:lineRule="auto"/>
              <w:rPr>
                <w:rFonts w:ascii="David" w:hAnsi="David" w:cs="David"/>
                <w:rtl/>
              </w:rPr>
            </w:pPr>
            <w:bookmarkStart w:id="0" w:name="_GoBack"/>
            <w:r w:rsidRPr="00C13E5E">
              <w:rPr>
                <w:rFonts w:ascii="David" w:hAnsi="David" w:cs="David"/>
                <w:rtl/>
              </w:rPr>
              <w:t xml:space="preserve">במסגרת האחריות של אגף הכלכלן הראשי על מדיניות ההשקעות הזרות </w:t>
            </w:r>
            <w:r>
              <w:rPr>
                <w:rFonts w:ascii="David" w:hAnsi="David" w:cs="David" w:hint="cs"/>
                <w:rtl/>
              </w:rPr>
              <w:t xml:space="preserve">בישראל וכתפקידו כאחראי על יעוץ לרגולטורים </w:t>
            </w:r>
            <w:r w:rsidRPr="00A57F9C">
              <w:rPr>
                <w:rFonts w:ascii="David" w:hAnsi="David" w:cs="David" w:hint="cs"/>
                <w:rtl/>
              </w:rPr>
              <w:t xml:space="preserve">במדינת ישראל על ידי הקבינט, </w:t>
            </w:r>
            <w:r w:rsidRPr="00A57F9C">
              <w:rPr>
                <w:rFonts w:ascii="David" w:hAnsi="David" w:cs="David"/>
                <w:rtl/>
              </w:rPr>
              <w:t>עלה הצורך ביצירת בסיס מידע יציב ואיכותי לקבלת תמונת מצב איכותית אודות ההשקעות הזרות במדינת ישראל</w:t>
            </w:r>
            <w:r w:rsidRPr="00A57F9C">
              <w:rPr>
                <w:rFonts w:asciiTheme="minorBidi" w:hAnsiTheme="minorBidi" w:cstheme="minorBidi" w:hint="cs"/>
                <w:b/>
                <w:sz w:val="21"/>
                <w:szCs w:val="21"/>
                <w:rtl/>
                <w:lang w:eastAsia="he-IL"/>
              </w:rPr>
              <w:t xml:space="preserve">. </w:t>
            </w:r>
            <w:r w:rsidRPr="00A57F9C">
              <w:rPr>
                <w:rFonts w:ascii="David" w:hAnsi="David" w:cs="David"/>
                <w:rtl/>
              </w:rPr>
              <w:t>מבדיקות וחיפושים שעשינו באינטרנט</w:t>
            </w:r>
            <w:r w:rsidR="005B4BB8">
              <w:rPr>
                <w:rFonts w:ascii="David" w:hAnsi="David" w:cs="David" w:hint="cs"/>
                <w:rtl/>
              </w:rPr>
              <w:t>, הגוף האיכותי</w:t>
            </w:r>
            <w:r w:rsidR="005B4BB8">
              <w:rPr>
                <w:rFonts w:ascii="David" w:hAnsi="David" w:cs="David"/>
                <w:rtl/>
              </w:rPr>
              <w:t xml:space="preserve"> שאוסף את המידע הוא </w:t>
            </w:r>
            <w:r w:rsidR="005B4BB8">
              <w:rPr>
                <w:rFonts w:ascii="David" w:hAnsi="David" w:cs="David" w:hint="cs"/>
              </w:rPr>
              <w:t>IVC</w:t>
            </w:r>
            <w:r w:rsidR="005B4BB8">
              <w:rPr>
                <w:rFonts w:ascii="David" w:hAnsi="David" w:cs="David" w:hint="cs"/>
                <w:rtl/>
              </w:rPr>
              <w:t xml:space="preserve">  שמאפשר להבין לעומק את מצב השוק מבחינת </w:t>
            </w:r>
            <w:r w:rsidR="005B4BB8" w:rsidRPr="003D1137">
              <w:rPr>
                <w:rFonts w:ascii="David" w:hAnsi="David" w:cs="David" w:hint="cs"/>
                <w:b/>
                <w:bCs/>
                <w:rtl/>
              </w:rPr>
              <w:t>סבבי גיוס, מיזוגים ורכישות</w:t>
            </w:r>
            <w:bookmarkEnd w:id="0"/>
            <w:r w:rsidR="005B4BB8">
              <w:rPr>
                <w:rFonts w:ascii="David" w:hAnsi="David" w:cs="David" w:hint="cs"/>
                <w:rtl/>
              </w:rPr>
              <w:t xml:space="preserve">. </w:t>
            </w:r>
          </w:p>
          <w:p w14:paraId="3A6A308D" w14:textId="77777777" w:rsidR="00222867" w:rsidRPr="00AF57E9" w:rsidRDefault="009559BB">
            <w:pPr>
              <w:spacing w:line="276" w:lineRule="auto"/>
              <w:rPr>
                <w:rFonts w:asciiTheme="minorBidi" w:hAnsiTheme="minorBidi" w:cstheme="minorBidi"/>
                <w:b/>
                <w:sz w:val="21"/>
                <w:szCs w:val="21"/>
                <w:highlight w:val="yellow"/>
                <w:lang w:eastAsia="he-IL"/>
              </w:rPr>
            </w:pPr>
          </w:p>
        </w:tc>
      </w:tr>
    </w:tbl>
    <w:p w14:paraId="120F124B" w14:textId="77777777" w:rsidR="00222867" w:rsidRPr="00AF57E9" w:rsidRDefault="009559BB" w:rsidP="00222867">
      <w:pPr>
        <w:rPr>
          <w:rFonts w:asciiTheme="minorBidi" w:hAnsiTheme="minorBidi" w:cstheme="minorBidi"/>
          <w:b/>
          <w:sz w:val="21"/>
          <w:szCs w:val="21"/>
          <w:lang w:eastAsia="he-IL"/>
        </w:rPr>
      </w:pPr>
    </w:p>
    <w:p w14:paraId="673D7DF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14:paraId="3D157752" w14:textId="77777777" w:rsidR="00222867" w:rsidRPr="00AF57E9" w:rsidRDefault="009559BB" w:rsidP="00222867">
      <w:pPr>
        <w:rPr>
          <w:rFonts w:asciiTheme="minorBidi" w:hAnsiTheme="minorBidi" w:cstheme="minorBidi"/>
          <w:b/>
          <w:sz w:val="21"/>
          <w:szCs w:val="21"/>
          <w:rtl/>
        </w:rPr>
      </w:pPr>
    </w:p>
    <w:p w14:paraId="7B8F466C"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428DA1EF" w14:textId="77777777" w:rsidR="00222867" w:rsidRPr="00AF57E9" w:rsidRDefault="009559B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ACD7B72" w14:textId="77777777" w:rsidTr="00222867">
        <w:tc>
          <w:tcPr>
            <w:tcW w:w="3085" w:type="dxa"/>
            <w:hideMark/>
          </w:tcPr>
          <w:p w14:paraId="4E8A1BAD"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lastRenderedPageBreak/>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23548B20"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7D6A04D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6748B17A" w14:textId="77777777" w:rsidR="00222867" w:rsidRPr="00AF57E9" w:rsidRDefault="009559BB">
            <w:pPr>
              <w:ind w:right="283"/>
              <w:rPr>
                <w:rFonts w:asciiTheme="minorBidi" w:hAnsiTheme="minorBidi" w:cstheme="minorBidi"/>
                <w:b/>
                <w:sz w:val="21"/>
                <w:szCs w:val="21"/>
                <w:lang w:eastAsia="he-IL"/>
              </w:rPr>
            </w:pPr>
          </w:p>
        </w:tc>
      </w:tr>
    </w:tbl>
    <w:p w14:paraId="6805B45B" w14:textId="77777777" w:rsidR="00222867" w:rsidRPr="00AF57E9" w:rsidRDefault="009559B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66FC5A77" w14:textId="77777777" w:rsidTr="00222867">
        <w:tc>
          <w:tcPr>
            <w:tcW w:w="2698" w:type="dxa"/>
            <w:shd w:val="clear" w:color="auto" w:fill="E6E6E6"/>
            <w:hideMark/>
          </w:tcPr>
          <w:p w14:paraId="3DE4EF4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12BC9066" w14:textId="77777777" w:rsidR="00222867" w:rsidRPr="00E4021B" w:rsidRDefault="000D034C" w:rsidP="00E4021B">
            <w:pPr>
              <w:bidi w:val="0"/>
              <w:rPr>
                <w:rFonts w:asciiTheme="minorBidi" w:hAnsiTheme="minorBidi" w:cstheme="minorBidi"/>
                <w:b/>
                <w:sz w:val="21"/>
                <w:szCs w:val="21"/>
                <w:lang w:eastAsia="he-IL"/>
              </w:rPr>
            </w:pPr>
            <w:r w:rsidRPr="000D034C">
              <w:rPr>
                <w:rFonts w:asciiTheme="minorBidi" w:hAnsiTheme="minorBidi" w:cstheme="minorBidi"/>
                <w:b/>
                <w:sz w:val="21"/>
                <w:szCs w:val="21"/>
                <w:lang w:eastAsia="he-IL"/>
              </w:rPr>
              <w:t>IVC</w:t>
            </w:r>
            <w:r w:rsidR="00E4021B">
              <w:rPr>
                <w:rFonts w:asciiTheme="minorBidi" w:hAnsiTheme="minorBidi" w:cstheme="minorBidi"/>
                <w:b/>
                <w:sz w:val="21"/>
                <w:szCs w:val="21"/>
                <w:lang w:eastAsia="he-IL"/>
              </w:rPr>
              <w:t xml:space="preserve"> </w:t>
            </w:r>
            <w:r w:rsidRPr="000D034C">
              <w:rPr>
                <w:rFonts w:asciiTheme="minorBidi" w:hAnsiTheme="minorBidi" w:cstheme="minorBidi"/>
                <w:b/>
                <w:sz w:val="21"/>
                <w:szCs w:val="21"/>
                <w:lang w:eastAsia="he-IL"/>
              </w:rPr>
              <w:t>Research Center</w:t>
            </w:r>
          </w:p>
        </w:tc>
      </w:tr>
      <w:tr w:rsidR="007548B0" w14:paraId="1CF8DC3C" w14:textId="77777777" w:rsidTr="00222867">
        <w:tc>
          <w:tcPr>
            <w:tcW w:w="2698" w:type="dxa"/>
            <w:shd w:val="clear" w:color="auto" w:fill="E6E6E6"/>
            <w:hideMark/>
          </w:tcPr>
          <w:p w14:paraId="7A277705"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570DFB5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E6F400C" w14:textId="77777777" w:rsidR="00222867" w:rsidRPr="00AF57E9" w:rsidRDefault="009559BB">
            <w:pPr>
              <w:rPr>
                <w:rFonts w:asciiTheme="minorBidi" w:hAnsiTheme="minorBidi" w:cstheme="minorBidi"/>
                <w:b/>
                <w:sz w:val="21"/>
                <w:szCs w:val="21"/>
                <w:highlight w:val="yellow"/>
                <w:lang w:eastAsia="he-IL"/>
              </w:rPr>
            </w:pPr>
          </w:p>
        </w:tc>
      </w:tr>
      <w:tr w:rsidR="007548B0" w14:paraId="2276DF43" w14:textId="77777777" w:rsidTr="00D66FD7">
        <w:trPr>
          <w:trHeight w:val="546"/>
        </w:trPr>
        <w:tc>
          <w:tcPr>
            <w:tcW w:w="2698" w:type="dxa"/>
            <w:shd w:val="clear" w:color="auto" w:fill="E6E6E6"/>
            <w:hideMark/>
          </w:tcPr>
          <w:p w14:paraId="1225B56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BACEE75"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3060" w:type="dxa"/>
            <w:hideMark/>
          </w:tcPr>
          <w:p w14:paraId="4444E7A1"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4EBFF5D1" w14:textId="77777777" w:rsidTr="00222867">
        <w:tc>
          <w:tcPr>
            <w:tcW w:w="2698" w:type="dxa"/>
            <w:shd w:val="clear" w:color="auto" w:fill="E6E6E6"/>
            <w:hideMark/>
          </w:tcPr>
          <w:p w14:paraId="455FC3A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5E21EB0" w14:textId="77777777" w:rsidR="00222867" w:rsidRPr="000D034C" w:rsidRDefault="000D034C">
            <w:pPr>
              <w:rPr>
                <w:rFonts w:asciiTheme="minorBidi" w:hAnsiTheme="minorBidi" w:cstheme="minorBidi"/>
                <w:b/>
                <w:sz w:val="21"/>
                <w:szCs w:val="21"/>
                <w:lang w:eastAsia="he-IL"/>
              </w:rPr>
            </w:pPr>
            <w:r w:rsidRPr="000D034C">
              <w:rPr>
                <w:rFonts w:asciiTheme="minorBidi" w:hAnsiTheme="minorBidi" w:cstheme="minorBidi" w:hint="cs"/>
                <w:b/>
                <w:sz w:val="21"/>
                <w:szCs w:val="21"/>
                <w:rtl/>
                <w:lang w:eastAsia="he-IL"/>
              </w:rPr>
              <w:t xml:space="preserve">21,645 ₪ </w:t>
            </w:r>
          </w:p>
        </w:tc>
      </w:tr>
      <w:tr w:rsidR="007548B0" w14:paraId="46D6E0F0" w14:textId="77777777" w:rsidTr="00222867">
        <w:tc>
          <w:tcPr>
            <w:tcW w:w="2698" w:type="dxa"/>
            <w:shd w:val="clear" w:color="auto" w:fill="E6E6E6"/>
            <w:hideMark/>
          </w:tcPr>
          <w:p w14:paraId="35462F6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6094C859" w14:textId="77777777" w:rsidR="00222867" w:rsidRPr="000D034C" w:rsidRDefault="000D034C">
            <w:pPr>
              <w:rPr>
                <w:rFonts w:asciiTheme="minorBidi" w:hAnsiTheme="minorBidi" w:cstheme="minorBidi"/>
                <w:b/>
                <w:sz w:val="21"/>
                <w:szCs w:val="21"/>
                <w:lang w:eastAsia="he-IL"/>
              </w:rPr>
            </w:pPr>
            <w:r w:rsidRPr="000D034C">
              <w:rPr>
                <w:rFonts w:asciiTheme="minorBidi" w:hAnsiTheme="minorBidi" w:cstheme="minorBidi" w:hint="cs"/>
                <w:b/>
                <w:sz w:val="21"/>
                <w:szCs w:val="21"/>
                <w:rtl/>
                <w:lang w:eastAsia="he-IL"/>
              </w:rPr>
              <w:t>שנה</w:t>
            </w:r>
            <w:r>
              <w:rPr>
                <w:rFonts w:asciiTheme="minorBidi" w:hAnsiTheme="minorBidi" w:cstheme="minorBidi" w:hint="cs"/>
                <w:b/>
                <w:sz w:val="21"/>
                <w:szCs w:val="21"/>
                <w:rtl/>
                <w:lang w:eastAsia="he-IL"/>
              </w:rPr>
              <w:t xml:space="preserve"> עם אופציה להארכה בשנה נוספת למשך שנתיים</w:t>
            </w:r>
          </w:p>
        </w:tc>
      </w:tr>
    </w:tbl>
    <w:p w14:paraId="3C803287" w14:textId="77777777" w:rsidR="00222867" w:rsidRPr="00AF57E9" w:rsidRDefault="009559BB" w:rsidP="00222867">
      <w:pPr>
        <w:rPr>
          <w:rFonts w:asciiTheme="minorBidi" w:hAnsiTheme="minorBidi" w:cstheme="minorBidi"/>
          <w:bCs/>
          <w:sz w:val="21"/>
          <w:szCs w:val="21"/>
          <w:rtl/>
          <w:lang w:eastAsia="he-IL"/>
        </w:rPr>
      </w:pPr>
    </w:p>
    <w:p w14:paraId="1D1F28A1"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4F667C2F"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29B6ECCB" w14:textId="77777777" w:rsidR="00222867" w:rsidRPr="00AF57E9" w:rsidRDefault="009559BB" w:rsidP="00222867">
      <w:pPr>
        <w:rPr>
          <w:rFonts w:asciiTheme="minorBidi" w:hAnsiTheme="minorBidi" w:cstheme="minorBidi"/>
          <w:bCs/>
          <w:sz w:val="21"/>
          <w:szCs w:val="21"/>
          <w:rtl/>
        </w:rPr>
      </w:pPr>
    </w:p>
    <w:p w14:paraId="69A6F9CA"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45C9B69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66F8504"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F4EDE71" w14:textId="77777777" w:rsidR="00222867" w:rsidRPr="00AF57E9" w:rsidRDefault="009B6B29" w:rsidP="003D1137">
      <w:pPr>
        <w:spacing w:line="276"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FB875C8" w14:textId="77777777" w:rsidR="00222867" w:rsidRPr="00AF57E9" w:rsidRDefault="009559B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419D977" w14:textId="77777777" w:rsidTr="006B46BC">
        <w:tc>
          <w:tcPr>
            <w:tcW w:w="9019" w:type="dxa"/>
            <w:tcBorders>
              <w:top w:val="single" w:sz="4" w:space="0" w:color="auto"/>
              <w:left w:val="single" w:sz="4" w:space="0" w:color="auto"/>
              <w:bottom w:val="single" w:sz="4" w:space="0" w:color="auto"/>
              <w:right w:val="single" w:sz="4" w:space="0" w:color="auto"/>
            </w:tcBorders>
          </w:tcPr>
          <w:p w14:paraId="128B669B" w14:textId="77777777" w:rsidR="003D1137" w:rsidRPr="00C13E5E" w:rsidRDefault="003D1137" w:rsidP="003D1137">
            <w:pPr>
              <w:tabs>
                <w:tab w:val="center" w:pos="3635"/>
                <w:tab w:val="center" w:pos="6186"/>
              </w:tabs>
              <w:spacing w:line="360" w:lineRule="auto"/>
              <w:rPr>
                <w:rFonts w:ascii="David" w:hAnsi="David" w:cs="David"/>
                <w:rtl/>
              </w:rPr>
            </w:pPr>
            <w:r w:rsidRPr="00C13E5E">
              <w:rPr>
                <w:rFonts w:ascii="David" w:hAnsi="David" w:cs="David"/>
                <w:rtl/>
              </w:rPr>
              <w:t>במסגרת האחריות של אגף הכלכלן הראשי על מדיניות ההשקעות הזרות ומחקר בנושא ההשקעות הזרות במשרד האוצר, עלה הצורך ביצירת בסיס מידע יציב ואיכותי לקבלת תמונת מצב איכותית אודות ההשקעות הזרות במדינת ישראל.</w:t>
            </w:r>
          </w:p>
          <w:p w14:paraId="08EBFFFC" w14:textId="77777777" w:rsidR="003D1137" w:rsidRPr="00C13E5E" w:rsidRDefault="003D1137" w:rsidP="003D1137">
            <w:pPr>
              <w:tabs>
                <w:tab w:val="center" w:pos="3635"/>
                <w:tab w:val="center" w:pos="6186"/>
              </w:tabs>
              <w:spacing w:line="360" w:lineRule="auto"/>
              <w:rPr>
                <w:rFonts w:ascii="David" w:hAnsi="David" w:cs="David"/>
                <w:rtl/>
              </w:rPr>
            </w:pPr>
            <w:r w:rsidRPr="00C13E5E">
              <w:rPr>
                <w:rFonts w:ascii="David" w:hAnsi="David" w:cs="David"/>
                <w:rtl/>
              </w:rPr>
              <w:t xml:space="preserve">ראשית, נציין כי במצב הרגיל, נתוני ההשקעות הזרות נמדדים בישראל ובעולם על ידי מדד הנקרא </w:t>
            </w:r>
            <w:r w:rsidRPr="00C13E5E">
              <w:rPr>
                <w:rFonts w:ascii="David" w:hAnsi="David" w:cs="David"/>
              </w:rPr>
              <w:t>FDI</w:t>
            </w:r>
            <w:r w:rsidRPr="00C13E5E">
              <w:rPr>
                <w:rFonts w:ascii="David" w:hAnsi="David" w:cs="David"/>
                <w:rtl/>
              </w:rPr>
              <w:t xml:space="preserve"> (השקעות זרות ישירות). מדד זה הוא מדד אשר משקלל את כלל תנועות ההון על ישראל וממנה, אשר לוו בבעלות של זרים על נכסים במדינה מעל ל-10%. נתונים אלו נאספים על ידי בנק ישראל ומועברים ללמ"ס לעיבוד נוסף, עד שמפורסם לבסוף על ידי הלמ"ס מדי שנה, עבור שנתיים קודם.</w:t>
            </w:r>
            <w:r w:rsidRPr="003D1137">
              <w:rPr>
                <w:rtl/>
              </w:rPr>
              <w:footnoteReference w:id="1"/>
            </w:r>
            <w:r w:rsidRPr="00C13E5E">
              <w:rPr>
                <w:rFonts w:ascii="David" w:hAnsi="David" w:cs="David"/>
                <w:rtl/>
              </w:rPr>
              <w:t xml:space="preserve"> בשל נתוני סודיות, הנתונים מתפרסמים כנתון אגרגטיבי, ואינם מפרטים את פרטי העסקאות עצמן. </w:t>
            </w:r>
          </w:p>
          <w:p w14:paraId="60C81873" w14:textId="77777777" w:rsidR="003D1137" w:rsidRPr="00C13E5E" w:rsidRDefault="003D1137" w:rsidP="00F73A5E">
            <w:pPr>
              <w:tabs>
                <w:tab w:val="center" w:pos="3635"/>
                <w:tab w:val="center" w:pos="6186"/>
              </w:tabs>
              <w:spacing w:line="360" w:lineRule="auto"/>
              <w:rPr>
                <w:rFonts w:ascii="David" w:hAnsi="David" w:cs="David"/>
                <w:rtl/>
              </w:rPr>
            </w:pPr>
            <w:r w:rsidRPr="00C13E5E">
              <w:rPr>
                <w:rFonts w:ascii="David" w:hAnsi="David" w:cs="David"/>
                <w:rtl/>
              </w:rPr>
              <w:t>את נתוני ה-</w:t>
            </w:r>
            <w:r w:rsidRPr="00C13E5E">
              <w:rPr>
                <w:rFonts w:ascii="David" w:hAnsi="David" w:cs="David"/>
              </w:rPr>
              <w:t>FDI</w:t>
            </w:r>
            <w:r w:rsidRPr="00C13E5E">
              <w:rPr>
                <w:rFonts w:ascii="David" w:hAnsi="David" w:cs="David"/>
                <w:rtl/>
              </w:rPr>
              <w:t xml:space="preserve"> אוספים כאמור דרך דיווחים פיננסיים העוברים דרך בנק ישראל, של העברות הון אל ומתוך ישראל למדינות אחרות. ניתן לחלק השקעות זרות (בחלוקה גסה) לשתי קטגוריות מרכזיות: "השקעות חדשות" (</w:t>
            </w:r>
            <w:r w:rsidRPr="00C13E5E">
              <w:rPr>
                <w:rFonts w:ascii="David" w:hAnsi="David" w:cs="David"/>
              </w:rPr>
              <w:t>Greenfield Investment</w:t>
            </w:r>
            <w:r w:rsidRPr="00C13E5E">
              <w:rPr>
                <w:rFonts w:ascii="David" w:hAnsi="David" w:cs="David"/>
                <w:rtl/>
              </w:rPr>
              <w:t xml:space="preserve">) ומיזוגים ורכישות. מידע על מיזוגים ורכישות נאסף לצרכים עסקיים על ידי חברות מידע עסקי רבות, באיכות משתנה ותוך התמחות של אותן חברות בתחומים או בתכונות שונות, כגון תחום הייטק או תעשייה או התמחות בשווקים מסויימים. למידע זה שימושים עסקיים רבים ולכן גם מספר רב של חברות האוספות אותו. בתחום המיזוגים והרכישות, ישנם מאגרי מידע כגון </w:t>
            </w:r>
            <w:r w:rsidRPr="00C13E5E">
              <w:rPr>
                <w:rFonts w:ascii="David" w:hAnsi="David" w:cs="David"/>
              </w:rPr>
              <w:t>Mergermarket</w:t>
            </w:r>
            <w:r w:rsidRPr="00C13E5E">
              <w:rPr>
                <w:rFonts w:ascii="David" w:hAnsi="David" w:cs="David"/>
                <w:rtl/>
              </w:rPr>
              <w:t xml:space="preserve">, </w:t>
            </w:r>
            <w:r w:rsidRPr="00C13E5E">
              <w:rPr>
                <w:rFonts w:ascii="David" w:hAnsi="David" w:cs="David"/>
              </w:rPr>
              <w:t>Capital IQ</w:t>
            </w:r>
            <w:r w:rsidRPr="00C13E5E">
              <w:rPr>
                <w:rFonts w:ascii="David" w:hAnsi="David" w:cs="David"/>
                <w:rtl/>
              </w:rPr>
              <w:t xml:space="preserve">, </w:t>
            </w:r>
            <w:r w:rsidRPr="00C13E5E">
              <w:rPr>
                <w:rFonts w:ascii="David" w:hAnsi="David" w:cs="David"/>
              </w:rPr>
              <w:t>EIKON</w:t>
            </w:r>
            <w:r w:rsidRPr="00C13E5E">
              <w:rPr>
                <w:rFonts w:ascii="David" w:hAnsi="David" w:cs="David"/>
                <w:rtl/>
              </w:rPr>
              <w:t xml:space="preserve">, </w:t>
            </w:r>
            <w:r w:rsidRPr="00C13E5E">
              <w:rPr>
                <w:rFonts w:ascii="David" w:hAnsi="David" w:cs="David"/>
              </w:rPr>
              <w:t>Bloomberg</w:t>
            </w:r>
            <w:r w:rsidRPr="00C13E5E">
              <w:rPr>
                <w:rFonts w:ascii="David" w:hAnsi="David" w:cs="David"/>
                <w:rtl/>
              </w:rPr>
              <w:t xml:space="preserve"> ו-</w:t>
            </w:r>
            <w:r w:rsidRPr="00C13E5E">
              <w:rPr>
                <w:rFonts w:ascii="David" w:hAnsi="David" w:cs="David"/>
              </w:rPr>
              <w:t>Orbis</w:t>
            </w:r>
            <w:r w:rsidRPr="00C13E5E">
              <w:rPr>
                <w:rFonts w:ascii="David" w:hAnsi="David" w:cs="David"/>
                <w:rtl/>
              </w:rPr>
              <w:t xml:space="preserve">, אשר אוספים מידע על עסקאות </w:t>
            </w:r>
            <w:r w:rsidRPr="00C13E5E">
              <w:rPr>
                <w:rFonts w:ascii="David" w:hAnsi="David" w:cs="David"/>
                <w:rtl/>
              </w:rPr>
              <w:lastRenderedPageBreak/>
              <w:t>כאמור, כל אחד עם התמחות ספציפית ברמה הסקטוריאלית או הגיאוגרפית. מנגד, המידע על השקעות חדשות דורש מצד אחד התמחות בכל מדינה בנפרד, ומנגד פחות חשוב לגופים עסקיים גדולים ולכן התחרות בשוק מועטה.</w:t>
            </w:r>
          </w:p>
          <w:p w14:paraId="775ECC90" w14:textId="2A8EEE14" w:rsidR="003D1137" w:rsidRPr="003D1137" w:rsidRDefault="003D1137" w:rsidP="00F73A5E">
            <w:pPr>
              <w:tabs>
                <w:tab w:val="center" w:pos="3635"/>
                <w:tab w:val="center" w:pos="6186"/>
              </w:tabs>
              <w:spacing w:line="360" w:lineRule="auto"/>
              <w:rPr>
                <w:rFonts w:ascii="David" w:hAnsi="David" w:cs="David"/>
              </w:rPr>
            </w:pPr>
            <w:r w:rsidRPr="003D1137">
              <w:rPr>
                <w:rFonts w:ascii="David" w:hAnsi="David" w:cs="David" w:hint="cs"/>
              </w:rPr>
              <w:t>IVC</w:t>
            </w:r>
            <w:r w:rsidRPr="003D1137">
              <w:rPr>
                <w:rFonts w:ascii="David" w:hAnsi="David" w:cs="David" w:hint="cs"/>
                <w:rtl/>
              </w:rPr>
              <w:t xml:space="preserve"> נותן שירותים למשרדי ממשלה נוספים, משרדי עורכי דין וכדו'. המידע שנאסף על ידי </w:t>
            </w:r>
            <w:r w:rsidRPr="003D1137">
              <w:rPr>
                <w:rFonts w:ascii="David" w:hAnsi="David" w:cs="David" w:hint="cs"/>
              </w:rPr>
              <w:t>IVC</w:t>
            </w:r>
            <w:r w:rsidRPr="003D1137">
              <w:rPr>
                <w:rFonts w:ascii="David" w:hAnsi="David" w:cs="David" w:hint="cs"/>
                <w:rtl/>
              </w:rPr>
              <w:t xml:space="preserve"> הוא </w:t>
            </w:r>
            <w:r w:rsidRPr="003D1137">
              <w:rPr>
                <w:rFonts w:ascii="David" w:hAnsi="David" w:cs="David"/>
                <w:rtl/>
              </w:rPr>
              <w:t>בין היתר פירוט משקיעים פעילים של השנים האחרונות, סבבי הגיוס והאקזיטים – של ה-5 שנים האחרונות, גיוסי הקרנות בארץ)</w:t>
            </w:r>
            <w:r w:rsidRPr="003D1137">
              <w:rPr>
                <w:rFonts w:ascii="David" w:hAnsi="David" w:cs="David" w:hint="cs"/>
                <w:rtl/>
              </w:rPr>
              <w:t xml:space="preserve">. בנוסף קיימים כלים איכותיים לסינון מידע וייצוא קבצים לאקסל או גרפים. מדובר על בקשה למנוי בסיסי וכן שימוש בכלי האנליטיקס:  כלי </w:t>
            </w:r>
            <w:r w:rsidRPr="003D1137">
              <w:rPr>
                <w:rFonts w:ascii="David" w:hAnsi="David" w:cs="David" w:hint="cs"/>
              </w:rPr>
              <w:t>BI</w:t>
            </w:r>
            <w:r w:rsidRPr="003D1137">
              <w:rPr>
                <w:rFonts w:ascii="David" w:hAnsi="David" w:cs="David" w:hint="cs"/>
                <w:rtl/>
              </w:rPr>
              <w:t xml:space="preserve"> נפרד שמאפשר הפקת דוחות חכמים וסינון מידע באופן יעיל.</w:t>
            </w:r>
            <w:r w:rsidR="00563C9A">
              <w:rPr>
                <w:rFonts w:ascii="David" w:hAnsi="David" w:cs="David" w:hint="cs"/>
                <w:rtl/>
              </w:rPr>
              <w:t xml:space="preserve"> מדובר בתשלום חד פעמי שמקנה מנוי למאגר. אנו צופים שנשתמש בכלי זה גם בשנים הבאות. </w:t>
            </w:r>
          </w:p>
          <w:p w14:paraId="0ADAB9E2" w14:textId="77777777" w:rsidR="00222867" w:rsidRPr="003D1137" w:rsidRDefault="003D1137" w:rsidP="003D1137">
            <w:pPr>
              <w:spacing w:line="276" w:lineRule="auto"/>
              <w:rPr>
                <w:rFonts w:ascii="David" w:hAnsi="David" w:cs="David"/>
              </w:rPr>
            </w:pPr>
            <w:r w:rsidRPr="003D1137">
              <w:rPr>
                <w:rFonts w:ascii="David" w:hAnsi="David" w:cs="David" w:hint="cs"/>
                <w:rtl/>
              </w:rPr>
              <w:t>העלות הכוללת של הכלי הבסיסי, האנליטיקס ומע"מ מסתכמת בכ-21,645 ₪.</w:t>
            </w:r>
          </w:p>
        </w:tc>
      </w:tr>
    </w:tbl>
    <w:p w14:paraId="6EB84CD8" w14:textId="77777777" w:rsidR="00222867" w:rsidRPr="00AF57E9" w:rsidRDefault="009559BB" w:rsidP="00222867">
      <w:pPr>
        <w:numPr>
          <w:ilvl w:val="12"/>
          <w:numId w:val="0"/>
        </w:numPr>
        <w:ind w:left="283" w:hanging="283"/>
        <w:rPr>
          <w:rFonts w:asciiTheme="minorBidi" w:hAnsiTheme="minorBidi" w:cstheme="minorBidi"/>
          <w:b/>
          <w:sz w:val="21"/>
          <w:szCs w:val="21"/>
          <w:rtl/>
          <w:lang w:eastAsia="he-IL"/>
        </w:rPr>
      </w:pPr>
    </w:p>
    <w:p w14:paraId="2F68F78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8ECAFA9" w14:textId="77777777" w:rsidR="00222867" w:rsidRPr="00AF57E9" w:rsidRDefault="009559BB" w:rsidP="00222867">
      <w:pPr>
        <w:rPr>
          <w:rFonts w:asciiTheme="minorBidi" w:hAnsiTheme="minorBidi" w:cstheme="minorBidi"/>
          <w:b/>
          <w:sz w:val="21"/>
          <w:szCs w:val="21"/>
          <w:rtl/>
        </w:rPr>
      </w:pPr>
    </w:p>
    <w:p w14:paraId="5B1BDA62"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695C25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2F6A32E7" w14:textId="77777777" w:rsidTr="00222867">
        <w:tc>
          <w:tcPr>
            <w:tcW w:w="2698" w:type="dxa"/>
            <w:tcBorders>
              <w:top w:val="single" w:sz="4" w:space="0" w:color="auto"/>
              <w:left w:val="single" w:sz="4" w:space="0" w:color="auto"/>
              <w:bottom w:val="single" w:sz="4" w:space="0" w:color="auto"/>
              <w:right w:val="single" w:sz="4" w:space="0" w:color="auto"/>
            </w:tcBorders>
          </w:tcPr>
          <w:p w14:paraId="4A4D23D3" w14:textId="77777777" w:rsidR="00222867" w:rsidRPr="00AF57E9" w:rsidRDefault="006C556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בועז פליישמן-אלאלוף</w:t>
            </w:r>
          </w:p>
        </w:tc>
        <w:tc>
          <w:tcPr>
            <w:tcW w:w="3420" w:type="dxa"/>
            <w:tcBorders>
              <w:top w:val="single" w:sz="4" w:space="0" w:color="auto"/>
              <w:left w:val="single" w:sz="4" w:space="0" w:color="auto"/>
              <w:bottom w:val="single" w:sz="4" w:space="0" w:color="auto"/>
              <w:right w:val="single" w:sz="4" w:space="0" w:color="auto"/>
            </w:tcBorders>
          </w:tcPr>
          <w:p w14:paraId="0C64338A" w14:textId="77777777" w:rsidR="00222867" w:rsidRPr="00AF57E9" w:rsidRDefault="006C556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הסכמי השקעות וסחר</w:t>
            </w:r>
          </w:p>
        </w:tc>
        <w:tc>
          <w:tcPr>
            <w:tcW w:w="3202" w:type="dxa"/>
            <w:tcBorders>
              <w:top w:val="single" w:sz="4" w:space="0" w:color="auto"/>
              <w:left w:val="single" w:sz="4" w:space="0" w:color="auto"/>
              <w:bottom w:val="single" w:sz="4" w:space="0" w:color="auto"/>
              <w:right w:val="single" w:sz="4" w:space="0" w:color="auto"/>
            </w:tcBorders>
          </w:tcPr>
          <w:p w14:paraId="7B19FF75" w14:textId="77777777" w:rsidR="00222867" w:rsidRPr="00AF57E9" w:rsidRDefault="009559BB">
            <w:pPr>
              <w:spacing w:line="360" w:lineRule="auto"/>
              <w:rPr>
                <w:rFonts w:asciiTheme="minorBidi" w:hAnsiTheme="minorBidi" w:cstheme="minorBidi"/>
                <w:b/>
                <w:sz w:val="21"/>
                <w:szCs w:val="21"/>
                <w:lang w:eastAsia="he-IL"/>
              </w:rPr>
            </w:pPr>
          </w:p>
        </w:tc>
      </w:tr>
      <w:tr w:rsidR="007548B0" w14:paraId="5654E42B"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82F841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71EB145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6278FB7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11C225D5" w14:textId="77777777" w:rsidR="00222867" w:rsidRPr="00817FBA" w:rsidRDefault="009559BB"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70428" w14:textId="77777777" w:rsidR="00947898" w:rsidRDefault="00947898">
      <w:r>
        <w:separator/>
      </w:r>
    </w:p>
  </w:endnote>
  <w:endnote w:type="continuationSeparator" w:id="0">
    <w:p w14:paraId="6DC384C4" w14:textId="77777777" w:rsidR="00947898" w:rsidRDefault="009478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2083ED9A"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36655662"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68AFB18F"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373BB17D" w14:textId="53FE638E"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559BB">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559BB">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814C987" w14:textId="77777777" w:rsidR="00354861" w:rsidRPr="0098529F" w:rsidRDefault="009559BB" w:rsidP="00354861">
          <w:pPr>
            <w:rPr>
              <w:rFonts w:ascii="Arial" w:hAnsi="Arial"/>
              <w:b/>
              <w:bCs/>
              <w:color w:val="FFFFFF" w:themeColor="background1"/>
            </w:rPr>
          </w:pPr>
        </w:p>
      </w:tc>
    </w:tr>
    <w:tr w:rsidR="007548B0" w14:paraId="5258F8D5"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03EF136"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9B843F1"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D13252D"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2863981"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233AA74C" w14:textId="77777777" w:rsidTr="00FA7591">
      <w:trPr>
        <w:trHeight w:val="283"/>
      </w:trPr>
      <w:tc>
        <w:tcPr>
          <w:tcW w:w="5630" w:type="dxa"/>
          <w:gridSpan w:val="2"/>
          <w:tcBorders>
            <w:top w:val="single" w:sz="4" w:space="0" w:color="auto"/>
          </w:tcBorders>
          <w:shd w:val="clear" w:color="auto" w:fill="auto"/>
          <w:noWrap/>
          <w:vAlign w:val="center"/>
        </w:tcPr>
        <w:p w14:paraId="3A4EDD98"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7E97DE5E"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1C30DEDC" w14:textId="77777777" w:rsidR="00E678BB" w:rsidRPr="00354861" w:rsidRDefault="009559B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BA86B6" w14:textId="77777777" w:rsidR="00947898" w:rsidRDefault="00947898">
      <w:r>
        <w:separator/>
      </w:r>
    </w:p>
  </w:footnote>
  <w:footnote w:type="continuationSeparator" w:id="0">
    <w:p w14:paraId="023B709C" w14:textId="77777777" w:rsidR="00947898" w:rsidRDefault="00947898">
      <w:r>
        <w:continuationSeparator/>
      </w:r>
    </w:p>
  </w:footnote>
  <w:footnote w:id="1">
    <w:p w14:paraId="5F602785" w14:textId="77777777" w:rsidR="003D1137" w:rsidRDefault="003D1137" w:rsidP="003D1137">
      <w:pPr>
        <w:pStyle w:val="afc"/>
      </w:pPr>
      <w:r>
        <w:rPr>
          <w:rStyle w:val="afe"/>
        </w:rPr>
        <w:footnoteRef/>
      </w:r>
      <w:r>
        <w:rPr>
          <w:rtl/>
        </w:rPr>
        <w:t xml:space="preserve"> </w:t>
      </w:r>
      <w:r w:rsidRPr="002B0573">
        <w:rPr>
          <w:rtl/>
        </w:rPr>
        <w:t>כך, ב-2019 יפורסם המידע עבור תמונת המצב בשנת 2017.</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1DCBD2AC"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361F2F2"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FB21490"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5C7BC6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2F5DDBCA" w14:textId="77777777" w:rsidR="009220EC" w:rsidRPr="00D84715" w:rsidRDefault="009B6B29" w:rsidP="008960FF">
          <w:pPr>
            <w:rPr>
              <w:rFonts w:ascii="Arial" w:hAnsi="Arial"/>
            </w:rPr>
          </w:pPr>
          <w:r>
            <w:rPr>
              <w:rFonts w:ascii="Arial" w:hAnsi="Arial"/>
              <w:noProof/>
            </w:rPr>
            <w:drawing>
              <wp:inline distT="0" distB="0" distL="0" distR="0" wp14:anchorId="6D5C83E4" wp14:editId="113CAA5B">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EC59CEA"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E219041"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8A7DFE3"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B44CBE0"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94E23FF"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119AA1CE" w14:textId="77777777" w:rsidTr="008960FF">
      <w:trPr>
        <w:trHeight w:val="261"/>
        <w:jc w:val="center"/>
      </w:trPr>
      <w:tc>
        <w:tcPr>
          <w:tcW w:w="1840" w:type="dxa"/>
          <w:vMerge/>
          <w:tcBorders>
            <w:left w:val="single" w:sz="4" w:space="0" w:color="auto"/>
          </w:tcBorders>
          <w:shd w:val="clear" w:color="auto" w:fill="F2F2F2"/>
          <w:vAlign w:val="center"/>
        </w:tcPr>
        <w:p w14:paraId="4A92F822" w14:textId="77777777" w:rsidR="009220EC" w:rsidRPr="00D84715" w:rsidRDefault="009559BB" w:rsidP="008960FF">
          <w:pPr>
            <w:rPr>
              <w:rFonts w:ascii="Arial" w:hAnsi="Arial"/>
            </w:rPr>
          </w:pPr>
        </w:p>
      </w:tc>
      <w:tc>
        <w:tcPr>
          <w:tcW w:w="3612" w:type="dxa"/>
          <w:vMerge/>
          <w:tcBorders>
            <w:left w:val="nil"/>
            <w:right w:val="single" w:sz="4" w:space="0" w:color="auto"/>
          </w:tcBorders>
          <w:shd w:val="clear" w:color="auto" w:fill="F2F2F2"/>
        </w:tcPr>
        <w:p w14:paraId="034605D9" w14:textId="77777777" w:rsidR="009220EC" w:rsidRDefault="009559B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05B12FA"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0F3BCB1"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B961B22" w14:textId="77777777" w:rsidTr="008960FF">
      <w:trPr>
        <w:trHeight w:val="261"/>
        <w:jc w:val="center"/>
      </w:trPr>
      <w:tc>
        <w:tcPr>
          <w:tcW w:w="1840" w:type="dxa"/>
          <w:vMerge/>
          <w:tcBorders>
            <w:left w:val="single" w:sz="4" w:space="0" w:color="auto"/>
          </w:tcBorders>
          <w:shd w:val="clear" w:color="auto" w:fill="F2F2F2"/>
          <w:vAlign w:val="center"/>
        </w:tcPr>
        <w:p w14:paraId="743E0498" w14:textId="77777777" w:rsidR="003D6D13" w:rsidRPr="00D84715" w:rsidRDefault="009559BB" w:rsidP="008960FF">
          <w:pPr>
            <w:rPr>
              <w:rFonts w:ascii="Arial" w:hAnsi="Arial"/>
            </w:rPr>
          </w:pPr>
        </w:p>
      </w:tc>
      <w:tc>
        <w:tcPr>
          <w:tcW w:w="3612" w:type="dxa"/>
          <w:vMerge/>
          <w:tcBorders>
            <w:left w:val="nil"/>
            <w:right w:val="single" w:sz="4" w:space="0" w:color="auto"/>
          </w:tcBorders>
          <w:shd w:val="clear" w:color="auto" w:fill="F2F2F2"/>
        </w:tcPr>
        <w:p w14:paraId="0A43343B" w14:textId="77777777" w:rsidR="003D6D13" w:rsidRPr="00D84715" w:rsidRDefault="009559B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F377C65"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AC1B0A" w14:textId="77777777" w:rsidR="003D6D13" w:rsidRPr="00671AFA" w:rsidRDefault="009B6B29" w:rsidP="008960FF">
          <w:pPr>
            <w:rPr>
              <w:rFonts w:ascii="Arial" w:hAnsi="Arial"/>
              <w:rtl/>
            </w:rPr>
          </w:pPr>
          <w:r>
            <w:rPr>
              <w:rFonts w:ascii="Arial" w:hAnsi="Arial" w:hint="cs"/>
              <w:rtl/>
            </w:rPr>
            <w:t>7.3.6.2</w:t>
          </w:r>
        </w:p>
      </w:tc>
    </w:tr>
    <w:tr w:rsidR="007548B0" w14:paraId="0141836C" w14:textId="77777777" w:rsidTr="008960FF">
      <w:trPr>
        <w:trHeight w:val="261"/>
        <w:jc w:val="center"/>
      </w:trPr>
      <w:tc>
        <w:tcPr>
          <w:tcW w:w="1840" w:type="dxa"/>
          <w:vMerge/>
          <w:tcBorders>
            <w:left w:val="single" w:sz="4" w:space="0" w:color="auto"/>
          </w:tcBorders>
          <w:shd w:val="clear" w:color="auto" w:fill="F2F2F2"/>
          <w:vAlign w:val="center"/>
        </w:tcPr>
        <w:p w14:paraId="589BD2A6" w14:textId="77777777" w:rsidR="009220EC" w:rsidRPr="00D84715" w:rsidRDefault="009559BB" w:rsidP="008960FF">
          <w:pPr>
            <w:rPr>
              <w:rFonts w:ascii="Arial" w:hAnsi="Arial"/>
            </w:rPr>
          </w:pPr>
        </w:p>
      </w:tc>
      <w:tc>
        <w:tcPr>
          <w:tcW w:w="3612" w:type="dxa"/>
          <w:vMerge/>
          <w:tcBorders>
            <w:left w:val="nil"/>
            <w:right w:val="single" w:sz="4" w:space="0" w:color="auto"/>
          </w:tcBorders>
          <w:shd w:val="clear" w:color="auto" w:fill="F2F2F2"/>
        </w:tcPr>
        <w:p w14:paraId="6CED0856" w14:textId="77777777" w:rsidR="009220EC" w:rsidRPr="00D84715" w:rsidRDefault="009559B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C65C9DF"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7FE48F4"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0579362F"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495B845A"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56F13A6D"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F5B42B5"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B1B1529"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907A608" w14:textId="77777777" w:rsidR="009B6B29" w:rsidRPr="00F8548C" w:rsidRDefault="009B6B29" w:rsidP="009B6B29">
          <w:pPr>
            <w:rPr>
              <w:rFonts w:ascii="Arial" w:hAnsi="Arial"/>
              <w:rtl/>
            </w:rPr>
          </w:pPr>
          <w:r w:rsidRPr="00BC3D4D">
            <w:rPr>
              <w:rFonts w:ascii="Arial" w:hAnsi="Arial" w:hint="cs"/>
              <w:rtl/>
            </w:rPr>
            <w:t>תת מהדורה:01</w:t>
          </w:r>
        </w:p>
      </w:tc>
    </w:tr>
  </w:tbl>
  <w:p w14:paraId="1620622C" w14:textId="77777777" w:rsidR="00E678BB" w:rsidRPr="00D84715" w:rsidRDefault="009559B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0243B"/>
    <w:multiLevelType w:val="hybridMultilevel"/>
    <w:tmpl w:val="E6A257A0"/>
    <w:lvl w:ilvl="0" w:tplc="5108F7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D034C"/>
    <w:rsid w:val="002C11F2"/>
    <w:rsid w:val="00336CDD"/>
    <w:rsid w:val="003D1137"/>
    <w:rsid w:val="00563C9A"/>
    <w:rsid w:val="005A51AB"/>
    <w:rsid w:val="005B4BB8"/>
    <w:rsid w:val="005F45E1"/>
    <w:rsid w:val="00612DBB"/>
    <w:rsid w:val="006B46BC"/>
    <w:rsid w:val="006C556D"/>
    <w:rsid w:val="007548B0"/>
    <w:rsid w:val="0084418B"/>
    <w:rsid w:val="008A1FF7"/>
    <w:rsid w:val="00944203"/>
    <w:rsid w:val="00947898"/>
    <w:rsid w:val="009559BB"/>
    <w:rsid w:val="009B6B29"/>
    <w:rsid w:val="009F7FB7"/>
    <w:rsid w:val="00A85813"/>
    <w:rsid w:val="00B31F93"/>
    <w:rsid w:val="00B624A4"/>
    <w:rsid w:val="00D66FD7"/>
    <w:rsid w:val="00E01670"/>
    <w:rsid w:val="00E4021B"/>
    <w:rsid w:val="00F73A5E"/>
    <w:rsid w:val="00FC3C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C3E315"/>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670065">
      <w:bodyDiv w:val="1"/>
      <w:marLeft w:val="0"/>
      <w:marRight w:val="0"/>
      <w:marTop w:val="0"/>
      <w:marBottom w:val="0"/>
      <w:divBdr>
        <w:top w:val="none" w:sz="0" w:space="0" w:color="auto"/>
        <w:left w:val="none" w:sz="0" w:space="0" w:color="auto"/>
        <w:bottom w:val="none" w:sz="0" w:space="0" w:color="auto"/>
        <w:right w:val="none" w:sz="0" w:space="0" w:color="auto"/>
      </w:divBdr>
    </w:div>
    <w:div w:id="51072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elements/1.1/"/>
    <ds:schemaRef ds:uri="http://schemas.microsoft.com/office/2006/metadata/properties"/>
    <ds:schemaRef ds:uri="a46656d4-8850-49b3-aebd-68bd05f7f43d"/>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1E6ECF-FEC4-4259-8C32-56C74DFF8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633</Words>
  <Characters>3167</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2021-10-21T06:33:00Z</dcterms:created>
  <dcterms:modified xsi:type="dcterms:W3CDTF">2021-10-21T06:33:00Z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